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14" w:rsidRDefault="00720114" w:rsidP="00720114">
      <w:pPr>
        <w:jc w:val="right"/>
        <w:rPr>
          <w:b/>
          <w:bCs/>
        </w:rPr>
      </w:pPr>
      <w:r>
        <w:rPr>
          <w:b/>
          <w:bCs/>
        </w:rPr>
        <w:t>Приложение</w:t>
      </w:r>
    </w:p>
    <w:p w:rsidR="00720114" w:rsidRPr="00FF6D3D" w:rsidRDefault="00720114" w:rsidP="007201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F6D3D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bookmarkEnd w:id="0"/>
    <w:p w:rsidR="00720114" w:rsidRPr="00720114" w:rsidRDefault="00720114" w:rsidP="007201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b/>
          <w:bCs/>
          <w:sz w:val="28"/>
          <w:szCs w:val="28"/>
        </w:rPr>
        <w:t xml:space="preserve">В апреле </w:t>
      </w:r>
      <w:proofErr w:type="spellStart"/>
      <w:r w:rsidRPr="00720114">
        <w:rPr>
          <w:rFonts w:ascii="Times New Roman" w:hAnsi="Times New Roman" w:cs="Times New Roman"/>
          <w:b/>
          <w:bCs/>
          <w:sz w:val="28"/>
          <w:szCs w:val="28"/>
        </w:rPr>
        <w:t>Росатом</w:t>
      </w:r>
      <w:proofErr w:type="spellEnd"/>
      <w:r w:rsidRPr="00720114">
        <w:rPr>
          <w:rFonts w:ascii="Times New Roman" w:hAnsi="Times New Roman" w:cs="Times New Roman"/>
          <w:b/>
          <w:bCs/>
          <w:sz w:val="28"/>
          <w:szCs w:val="28"/>
        </w:rPr>
        <w:t xml:space="preserve"> проведет для российских школьников третий «Урок цифры» по квантовой тематике </w:t>
      </w:r>
    </w:p>
    <w:p w:rsidR="00720114" w:rsidRPr="00720114" w:rsidRDefault="00720114" w:rsidP="008C4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i/>
          <w:iCs/>
          <w:sz w:val="28"/>
          <w:szCs w:val="28"/>
        </w:rPr>
        <w:t xml:space="preserve">Школьникам расскажут о применении квантовых технологий в медицине, а также профессиях будущего на стыке физики, биологии и химии. </w:t>
      </w:r>
    </w:p>
    <w:p w:rsidR="00720114" w:rsidRPr="00720114" w:rsidRDefault="00720114" w:rsidP="008C4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sz w:val="28"/>
          <w:szCs w:val="28"/>
        </w:rPr>
        <w:t xml:space="preserve">С 8 по 30 апреля 2024 года в российских школах пройдет «Урок цифры» по теме «Путешествие в </w:t>
      </w:r>
      <w:proofErr w:type="spellStart"/>
      <w:r w:rsidRPr="00720114">
        <w:rPr>
          <w:rFonts w:ascii="Times New Roman" w:hAnsi="Times New Roman" w:cs="Times New Roman"/>
          <w:sz w:val="28"/>
          <w:szCs w:val="28"/>
        </w:rPr>
        <w:t>микровселенную</w:t>
      </w:r>
      <w:proofErr w:type="spellEnd"/>
      <w:r w:rsidRPr="00720114">
        <w:rPr>
          <w:rFonts w:ascii="Times New Roman" w:hAnsi="Times New Roman" w:cs="Times New Roman"/>
          <w:sz w:val="28"/>
          <w:szCs w:val="28"/>
        </w:rPr>
        <w:t xml:space="preserve">: квантовые вычисления и медицина будущего». </w:t>
      </w:r>
    </w:p>
    <w:p w:rsidR="00720114" w:rsidRPr="00720114" w:rsidRDefault="00720114" w:rsidP="008C4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sz w:val="28"/>
          <w:szCs w:val="28"/>
        </w:rPr>
        <w:t xml:space="preserve">Организаторами проекта «Урок цифры», реализуемого в поддержку федерального проекта «Кадры для цифровой экономики» национального проекта «Цифровая экономика», являются АНО «Цифровая экономика» совместно с </w:t>
      </w:r>
      <w:proofErr w:type="spellStart"/>
      <w:r w:rsidRPr="0072011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20114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720114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720114">
        <w:rPr>
          <w:rFonts w:ascii="Times New Roman" w:hAnsi="Times New Roman" w:cs="Times New Roman"/>
          <w:sz w:val="28"/>
          <w:szCs w:val="28"/>
        </w:rPr>
        <w:t xml:space="preserve"> России, в партнерстве с ведущими российскими технологическими </w:t>
      </w:r>
      <w:proofErr w:type="gramStart"/>
      <w:r w:rsidRPr="00720114">
        <w:rPr>
          <w:rFonts w:ascii="Times New Roman" w:hAnsi="Times New Roman" w:cs="Times New Roman"/>
          <w:sz w:val="28"/>
          <w:szCs w:val="28"/>
        </w:rPr>
        <w:t>компаниями,.</w:t>
      </w:r>
      <w:proofErr w:type="gramEnd"/>
      <w:r w:rsidRPr="00720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114" w:rsidRPr="00720114" w:rsidRDefault="00720114" w:rsidP="008C4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sz w:val="28"/>
          <w:szCs w:val="28"/>
        </w:rPr>
        <w:t xml:space="preserve">Стратегический партнер и разработчик урока </w:t>
      </w:r>
      <w:proofErr w:type="spellStart"/>
      <w:r w:rsidRPr="00720114">
        <w:rPr>
          <w:rFonts w:ascii="Times New Roman" w:hAnsi="Times New Roman" w:cs="Times New Roman"/>
          <w:sz w:val="28"/>
          <w:szCs w:val="28"/>
        </w:rPr>
        <w:t>Госкорпорация</w:t>
      </w:r>
      <w:proofErr w:type="spellEnd"/>
      <w:r w:rsidRPr="007201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0114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720114">
        <w:rPr>
          <w:rFonts w:ascii="Times New Roman" w:hAnsi="Times New Roman" w:cs="Times New Roman"/>
          <w:sz w:val="28"/>
          <w:szCs w:val="28"/>
        </w:rPr>
        <w:t xml:space="preserve">» совместно с учеными Российского квантового центра проведут для школьников и педагогов страны занятия по теме применения квантовых вычислений в современной медицине. Особое внимание будет посвящено направлениям квантовой физики и междисциплинарным исследованиям, развивающим медицину будущего. Также учащимся расскажут о новых специальностях в области квантовых технологий, в том числе в биомедицине и смежных областях науки, и возможностях получения соответствующих профессий в российских вузах. </w:t>
      </w:r>
    </w:p>
    <w:p w:rsidR="00720114" w:rsidRPr="00720114" w:rsidRDefault="00720114" w:rsidP="008C4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sz w:val="28"/>
          <w:szCs w:val="28"/>
        </w:rPr>
        <w:t xml:space="preserve">Тема урока этого года связана с ключевой повесткой Форума будущих технологий 2024 года, ежегодным флагманским событием, на котором представляют технологии и инновационные научные разработки, определяющие вектор развития отраслей экономики на ближайшие годы. </w:t>
      </w:r>
    </w:p>
    <w:p w:rsidR="00720114" w:rsidRPr="00720114" w:rsidRDefault="00720114" w:rsidP="008C4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sz w:val="28"/>
          <w:szCs w:val="28"/>
        </w:rPr>
        <w:t xml:space="preserve">Образовательный проект традиционно пройдет в гибридном формате. Педагоги получат все необходимые методические рекомендации, презентации и опорные конспекты для проведения как дистанционного, так и очного занятия. </w:t>
      </w:r>
    </w:p>
    <w:p w:rsidR="00720114" w:rsidRPr="00720114" w:rsidRDefault="00720114" w:rsidP="008C4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sz w:val="28"/>
          <w:szCs w:val="28"/>
        </w:rPr>
        <w:t xml:space="preserve">Новый «Урок цифры» состоит из двух блоков: учебного фильма и тренажеров для учащихся младших, средних и старших классов. Главным героем фильма станет школьница, которая увлекается физикой и биологией и хочет выбрать профессию, которая позволит совместить обе науки. Она отправляется в путешествие по </w:t>
      </w:r>
      <w:proofErr w:type="spellStart"/>
      <w:r w:rsidRPr="00720114">
        <w:rPr>
          <w:rFonts w:ascii="Times New Roman" w:hAnsi="Times New Roman" w:cs="Times New Roman"/>
          <w:sz w:val="28"/>
          <w:szCs w:val="28"/>
        </w:rPr>
        <w:t>микровселенной</w:t>
      </w:r>
      <w:proofErr w:type="spellEnd"/>
      <w:r w:rsidRPr="00720114">
        <w:rPr>
          <w:rFonts w:ascii="Times New Roman" w:hAnsi="Times New Roman" w:cs="Times New Roman"/>
          <w:sz w:val="28"/>
          <w:szCs w:val="28"/>
        </w:rPr>
        <w:t xml:space="preserve">, в ходе которого российские ученые знакомят ее с новыми технологиями, использующими квантовые вычисления и позволяющими создавать эффективные лекарства, бороться с вирусами, исследовать структуру мозга, расшифровывать структуру ДНК и пр. </w:t>
      </w:r>
    </w:p>
    <w:p w:rsidR="00720114" w:rsidRPr="00720114" w:rsidRDefault="00720114" w:rsidP="008C4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прохождения игровых тренажеров учащимся предстоит сравнить работу обычного и квантового компьютеров, правильно расставить квантовые сенсоры, на практике испытать свои силы в задачах, которые будут решаться с помощью квантовых вычислений: расшифровке генома и поиске новых лекарств. </w:t>
      </w:r>
    </w:p>
    <w:p w:rsidR="00720114" w:rsidRPr="00720114" w:rsidRDefault="00720114" w:rsidP="008C4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sz w:val="28"/>
          <w:szCs w:val="28"/>
        </w:rPr>
        <w:t xml:space="preserve">Наряду с этим, пройдет ряд открытых уроков, в ходе которых школьники смогут лично пообщаться с ведущими российскими </w:t>
      </w:r>
      <w:r>
        <w:rPr>
          <w:rFonts w:ascii="Times New Roman" w:hAnsi="Times New Roman" w:cs="Times New Roman"/>
          <w:sz w:val="28"/>
          <w:szCs w:val="28"/>
        </w:rPr>
        <w:t xml:space="preserve">учеными, работающими на стыке </w:t>
      </w:r>
      <w:r w:rsidRPr="00720114">
        <w:rPr>
          <w:rFonts w:ascii="Times New Roman" w:hAnsi="Times New Roman" w:cs="Times New Roman"/>
          <w:sz w:val="28"/>
          <w:szCs w:val="28"/>
        </w:rPr>
        <w:t xml:space="preserve">квантовых вычислений и биотехнологий. Открытый федеральный «Урок цифры» по данной тематике пройдет 23 апреля на площадке Российского квантового центра (РКЦ). Его проведет советник генерального директора </w:t>
      </w:r>
      <w:proofErr w:type="spellStart"/>
      <w:r w:rsidRPr="00720114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7201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0114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72011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20114">
        <w:rPr>
          <w:rFonts w:ascii="Times New Roman" w:hAnsi="Times New Roman" w:cs="Times New Roman"/>
          <w:sz w:val="28"/>
          <w:szCs w:val="28"/>
        </w:rPr>
        <w:t>сооснователь</w:t>
      </w:r>
      <w:proofErr w:type="spellEnd"/>
      <w:r w:rsidRPr="00720114">
        <w:rPr>
          <w:rFonts w:ascii="Times New Roman" w:hAnsi="Times New Roman" w:cs="Times New Roman"/>
          <w:sz w:val="28"/>
          <w:szCs w:val="28"/>
        </w:rPr>
        <w:t xml:space="preserve"> РКЦ Руслан Юнусов. Перед школьниками выступят молодые исследователи квантовых технологий из МГУ имени М.В. Ломоносова, Физического института РАН имени Лебедева и РКЦ, которые участвуют в создании российского квантового компьютера в рамках правительственной дорожной карты по квантовым вычислениям. По итогам урока юные гости посетят научные лаборатории, в которых создаются квантовые процессоры на различных платформах. </w:t>
      </w:r>
    </w:p>
    <w:p w:rsidR="00720114" w:rsidRPr="00720114" w:rsidRDefault="00720114" w:rsidP="008C4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sz w:val="28"/>
          <w:szCs w:val="28"/>
        </w:rPr>
        <w:t xml:space="preserve">Популяризация квантовых технологий среди школьников и студентов с целью дальнейшего формирования кадрового резерва индустрии — одна из ключевых задач </w:t>
      </w:r>
      <w:proofErr w:type="spellStart"/>
      <w:r w:rsidRPr="00720114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7201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0114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720114">
        <w:rPr>
          <w:rFonts w:ascii="Times New Roman" w:hAnsi="Times New Roman" w:cs="Times New Roman"/>
          <w:sz w:val="28"/>
          <w:szCs w:val="28"/>
        </w:rPr>
        <w:t xml:space="preserve">» в рамках реализации дорожной карты «Квантовые вычисления». В 2023 году урок о квантовых технологиях прошли свыше 3,5 млн школьников из всех субъектов РФ. Впервые за всю историю проекта «Урок цифры» прошел за рубежом – в столице Республики Беларусь г. Минске. </w:t>
      </w:r>
    </w:p>
    <w:p w:rsidR="00720114" w:rsidRPr="00720114" w:rsidRDefault="00720114" w:rsidP="008C4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 Солнцева, директор по </w:t>
      </w:r>
      <w:proofErr w:type="spellStart"/>
      <w:r w:rsidRPr="00720114">
        <w:rPr>
          <w:rFonts w:ascii="Times New Roman" w:hAnsi="Times New Roman" w:cs="Times New Roman"/>
          <w:b/>
          <w:bCs/>
          <w:sz w:val="28"/>
          <w:szCs w:val="28"/>
        </w:rPr>
        <w:t>цифровизации</w:t>
      </w:r>
      <w:proofErr w:type="spellEnd"/>
      <w:r w:rsidRPr="00720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0114">
        <w:rPr>
          <w:rFonts w:ascii="Times New Roman" w:hAnsi="Times New Roman" w:cs="Times New Roman"/>
          <w:b/>
          <w:bCs/>
          <w:sz w:val="28"/>
          <w:szCs w:val="28"/>
        </w:rPr>
        <w:t>Госкорпорации</w:t>
      </w:r>
      <w:proofErr w:type="spellEnd"/>
      <w:r w:rsidRPr="0072011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720114">
        <w:rPr>
          <w:rFonts w:ascii="Times New Roman" w:hAnsi="Times New Roman" w:cs="Times New Roman"/>
          <w:b/>
          <w:bCs/>
          <w:sz w:val="28"/>
          <w:szCs w:val="28"/>
        </w:rPr>
        <w:t>Росатом</w:t>
      </w:r>
      <w:proofErr w:type="spellEnd"/>
      <w:r w:rsidRPr="00720114">
        <w:rPr>
          <w:rFonts w:ascii="Times New Roman" w:hAnsi="Times New Roman" w:cs="Times New Roman"/>
          <w:b/>
          <w:bCs/>
          <w:sz w:val="28"/>
          <w:szCs w:val="28"/>
        </w:rPr>
        <w:t xml:space="preserve">»: </w:t>
      </w:r>
    </w:p>
    <w:p w:rsidR="00720114" w:rsidRPr="00720114" w:rsidRDefault="00720114" w:rsidP="008C4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sz w:val="28"/>
          <w:szCs w:val="28"/>
        </w:rPr>
        <w:t xml:space="preserve">«Уроки цифры» открывают школьникам дорогу в мир будущих технологий, которые сегодня создаются в междисциплинарных областях и требуют глубоких естественнонаучных и гуманитарных знаний. Поэтому важно, что в ходе Уроков талантливые ребята выходят за рамки той или иной дисциплины и получают пример соединения компетенций в поиске ответов на вызовы будущего. А «цифра» здесь – мощнейший катализатор новых технологий, который позволяет поставить их на службу человеку. Примером может служить тема нынешнего квантового урока: мы покажем, как вычисления на новых физических принципах изменят облик медицины. Уверена, что участники нынешнего Урока внесут свой вклад в науку, а кто-то из них со временем обязательно станет лауреатом новой научной премии в области будущих технологий, которая так и называется – «ВЫЗОВ». </w:t>
      </w:r>
    </w:p>
    <w:p w:rsidR="00720114" w:rsidRPr="00720114" w:rsidRDefault="00720114" w:rsidP="008C4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b/>
          <w:bCs/>
          <w:sz w:val="28"/>
          <w:szCs w:val="28"/>
        </w:rPr>
        <w:t xml:space="preserve">Руслан Юнусов, советник генерального директора </w:t>
      </w:r>
      <w:proofErr w:type="spellStart"/>
      <w:r w:rsidRPr="00720114">
        <w:rPr>
          <w:rFonts w:ascii="Times New Roman" w:hAnsi="Times New Roman" w:cs="Times New Roman"/>
          <w:b/>
          <w:bCs/>
          <w:sz w:val="28"/>
          <w:szCs w:val="28"/>
        </w:rPr>
        <w:t>госкорпорации</w:t>
      </w:r>
      <w:proofErr w:type="spellEnd"/>
      <w:r w:rsidRPr="0072011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720114">
        <w:rPr>
          <w:rFonts w:ascii="Times New Roman" w:hAnsi="Times New Roman" w:cs="Times New Roman"/>
          <w:b/>
          <w:bCs/>
          <w:sz w:val="28"/>
          <w:szCs w:val="28"/>
        </w:rPr>
        <w:t>Росатом</w:t>
      </w:r>
      <w:proofErr w:type="spellEnd"/>
      <w:r w:rsidRPr="00720114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proofErr w:type="spellStart"/>
      <w:r w:rsidRPr="00720114">
        <w:rPr>
          <w:rFonts w:ascii="Times New Roman" w:hAnsi="Times New Roman" w:cs="Times New Roman"/>
          <w:b/>
          <w:bCs/>
          <w:sz w:val="28"/>
          <w:szCs w:val="28"/>
        </w:rPr>
        <w:t>сооснователь</w:t>
      </w:r>
      <w:proofErr w:type="spellEnd"/>
      <w:r w:rsidRPr="00720114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российского квантового центра: </w:t>
      </w:r>
    </w:p>
    <w:p w:rsidR="00720114" w:rsidRPr="00720114" w:rsidRDefault="00720114" w:rsidP="008C4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sz w:val="28"/>
          <w:szCs w:val="28"/>
        </w:rPr>
        <w:lastRenderedPageBreak/>
        <w:t xml:space="preserve">«Урок Цифры» – это не просто учебное занятие, а это своего рода путеводитель в мир будущего, где новые технологии станут неотъемлемой частью нашей повседневной жизни. Ребята, которые в этом году примут участие в «Уроке Цифры», увидят новые перспективы применения квантовых технологий и узнают, как их применять в медицине. Будущее определяется теми, кто сегодня активно участвует в создании технологий – молодыми учеными, инженерами. Мы верим, что такие проекты, как «Урок Цифры», должны мотивировать ребят осваивать профессии будущего и мы вместе с ними будем создавать новую технологическую реальность». </w:t>
      </w:r>
    </w:p>
    <w:p w:rsidR="00720114" w:rsidRPr="00720114" w:rsidRDefault="00720114" w:rsidP="008C4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b/>
          <w:bCs/>
          <w:sz w:val="28"/>
          <w:szCs w:val="28"/>
        </w:rPr>
        <w:t xml:space="preserve">Сергей Плуготаренко, генеральный директор АНО «Цифровая экономика»: </w:t>
      </w:r>
    </w:p>
    <w:p w:rsidR="00720114" w:rsidRPr="00720114" w:rsidRDefault="00720114" w:rsidP="008C43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114">
        <w:rPr>
          <w:rFonts w:ascii="Times New Roman" w:hAnsi="Times New Roman" w:cs="Times New Roman"/>
          <w:sz w:val="28"/>
          <w:szCs w:val="28"/>
        </w:rPr>
        <w:t xml:space="preserve">«Урок Цифры» от </w:t>
      </w:r>
      <w:proofErr w:type="spellStart"/>
      <w:r w:rsidRPr="00720114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Pr="00720114">
        <w:rPr>
          <w:rFonts w:ascii="Times New Roman" w:hAnsi="Times New Roman" w:cs="Times New Roman"/>
          <w:sz w:val="28"/>
          <w:szCs w:val="28"/>
        </w:rPr>
        <w:t xml:space="preserve"> помогает зажечь в школьниках интерес к квантовым технологиям и новым профессиям, которые вскоре, пожалуй, начнут определять будущее человечества. Крайне важно с ранних лет показывать и рассказывать детям, что профессии сегодня рождаются на стыке дисциплин, науки и технологий, поэтому наш новый урок – это увлекательное путешествие в мир квантовых вычислений и медицины будущего». </w:t>
      </w:r>
    </w:p>
    <w:p w:rsidR="008C43DC" w:rsidRDefault="008C43DC" w:rsidP="0072011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0114" w:rsidRPr="00720114" w:rsidRDefault="00720114" w:rsidP="007201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информация: о</w:t>
      </w:r>
      <w:r w:rsidRPr="00720114">
        <w:rPr>
          <w:rFonts w:ascii="Times New Roman" w:hAnsi="Times New Roman" w:cs="Times New Roman"/>
          <w:b/>
          <w:bCs/>
          <w:sz w:val="28"/>
          <w:szCs w:val="28"/>
        </w:rPr>
        <w:t>б «Уроке цифры»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0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0114" w:rsidRPr="008C43DC" w:rsidRDefault="00720114" w:rsidP="0072011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3DC">
        <w:rPr>
          <w:rFonts w:ascii="Times New Roman" w:hAnsi="Times New Roman" w:cs="Times New Roman"/>
          <w:i/>
          <w:sz w:val="28"/>
          <w:szCs w:val="28"/>
        </w:rPr>
        <w:t xml:space="preserve">Проект «Урок цифры» реализуется в поддержку федерального проекта «Кадры для цифровой экономики». Занятия на тематических тренажерах проекта проводятся в виде увлекательных онлайн-игр для трех возрастных групп: учащихся младшей, средней и старшей школы. Методические материалы уроков остаются в доступе на сайте проекта и охватывают широкий круг тематик: алгоритмы, кодирование, командная разработка, безопасность в Интернете, управление проектами, искусственный интеллект, машинное обучение, персональные помощники, сети и облачные технологии, большие данные, беспилотный транспорт, </w:t>
      </w:r>
      <w:proofErr w:type="spellStart"/>
      <w:r w:rsidRPr="008C43DC">
        <w:rPr>
          <w:rFonts w:ascii="Times New Roman" w:hAnsi="Times New Roman" w:cs="Times New Roman"/>
          <w:i/>
          <w:sz w:val="28"/>
          <w:szCs w:val="28"/>
        </w:rPr>
        <w:t>нейросети</w:t>
      </w:r>
      <w:proofErr w:type="spell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 и коммуникации, приватность в цифровом мире. </w:t>
      </w:r>
    </w:p>
    <w:p w:rsidR="00720114" w:rsidRPr="008C43DC" w:rsidRDefault="00720114" w:rsidP="0072011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3DC">
        <w:rPr>
          <w:rFonts w:ascii="Times New Roman" w:hAnsi="Times New Roman" w:cs="Times New Roman"/>
          <w:i/>
          <w:sz w:val="28"/>
          <w:szCs w:val="28"/>
        </w:rPr>
        <w:t xml:space="preserve">Инициаторы «Урока цифры» — Министерство просвещения РФ, Министерство цифрового развития, связи и массовых коммуникаций РФ и АНО «Цифровая экономика». Задачами проекта являются развитие у школьников цифровых компетенций и ранняя профориентация: уроки помогают детям сориентироваться в мире профессий, связанных с компьютерными технологиями и программированием. Партнерами проекта в 2023/24 учебном году выступают «Лаборатория Касперского», Благотворительный фонд Сбербанка «Вклад в будущее», фирма «1С», компании Яндекс, VK, </w:t>
      </w:r>
      <w:proofErr w:type="spellStart"/>
      <w:r w:rsidRPr="008C43DC">
        <w:rPr>
          <w:rFonts w:ascii="Times New Roman" w:hAnsi="Times New Roman" w:cs="Times New Roman"/>
          <w:i/>
          <w:sz w:val="28"/>
          <w:szCs w:val="28"/>
        </w:rPr>
        <w:t>Росатом</w:t>
      </w:r>
      <w:proofErr w:type="spell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C43DC">
        <w:rPr>
          <w:rFonts w:ascii="Times New Roman" w:hAnsi="Times New Roman" w:cs="Times New Roman"/>
          <w:i/>
          <w:sz w:val="28"/>
          <w:szCs w:val="28"/>
        </w:rPr>
        <w:t>Ozon</w:t>
      </w:r>
      <w:proofErr w:type="spell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C43DC">
        <w:rPr>
          <w:rFonts w:ascii="Times New Roman" w:hAnsi="Times New Roman" w:cs="Times New Roman"/>
          <w:i/>
          <w:sz w:val="28"/>
          <w:szCs w:val="28"/>
        </w:rPr>
        <w:t>Tech</w:t>
      </w:r>
      <w:proofErr w:type="spell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. С 2018 года уроки прошли более 83 млн раз. </w:t>
      </w:r>
    </w:p>
    <w:p w:rsidR="008C43DC" w:rsidRDefault="008C43DC" w:rsidP="00720114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20114" w:rsidRPr="008C43DC" w:rsidRDefault="00720114" w:rsidP="0072011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43DC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О </w:t>
      </w:r>
      <w:proofErr w:type="spellStart"/>
      <w:r w:rsidRPr="008C43DC">
        <w:rPr>
          <w:rFonts w:ascii="Times New Roman" w:hAnsi="Times New Roman" w:cs="Times New Roman"/>
          <w:b/>
          <w:bCs/>
          <w:i/>
          <w:sz w:val="28"/>
          <w:szCs w:val="28"/>
        </w:rPr>
        <w:t>госкорпорации</w:t>
      </w:r>
      <w:proofErr w:type="spellEnd"/>
      <w:r w:rsidRPr="008C43D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proofErr w:type="spellStart"/>
      <w:r w:rsidRPr="008C43DC">
        <w:rPr>
          <w:rFonts w:ascii="Times New Roman" w:hAnsi="Times New Roman" w:cs="Times New Roman"/>
          <w:b/>
          <w:bCs/>
          <w:i/>
          <w:sz w:val="28"/>
          <w:szCs w:val="28"/>
        </w:rPr>
        <w:t>Росатом</w:t>
      </w:r>
      <w:proofErr w:type="spellEnd"/>
      <w:r w:rsidRPr="008C43D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</w:t>
      </w:r>
    </w:p>
    <w:p w:rsidR="00720114" w:rsidRDefault="00720114" w:rsidP="00720114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C43DC">
        <w:rPr>
          <w:rFonts w:ascii="Times New Roman" w:hAnsi="Times New Roman" w:cs="Times New Roman"/>
          <w:i/>
          <w:sz w:val="28"/>
          <w:szCs w:val="28"/>
        </w:rPr>
        <w:t>Госкорпорация</w:t>
      </w:r>
      <w:proofErr w:type="spell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8C43DC">
        <w:rPr>
          <w:rFonts w:ascii="Times New Roman" w:hAnsi="Times New Roman" w:cs="Times New Roman"/>
          <w:i/>
          <w:sz w:val="28"/>
          <w:szCs w:val="28"/>
        </w:rPr>
        <w:t>Росатом</w:t>
      </w:r>
      <w:proofErr w:type="spell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» 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работают 330 тыс. человек. С 2018 г. реализует единую цифровую стратегию (ЕЦС), предполагающую многоплановую работу по ряду направлений. В направлении «Участие в </w:t>
      </w:r>
      <w:proofErr w:type="spellStart"/>
      <w:r w:rsidRPr="008C43DC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 РФ» является центром компетенций федерального проекта «Цифровые технологии» </w:t>
      </w:r>
      <w:proofErr w:type="spellStart"/>
      <w:r w:rsidRPr="008C43DC">
        <w:rPr>
          <w:rFonts w:ascii="Times New Roman" w:hAnsi="Times New Roman" w:cs="Times New Roman"/>
          <w:i/>
          <w:sz w:val="28"/>
          <w:szCs w:val="28"/>
        </w:rPr>
        <w:t>нацпрограммы</w:t>
      </w:r>
      <w:proofErr w:type="spell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</w:t>
      </w:r>
      <w:proofErr w:type="spellStart"/>
      <w:r w:rsidRPr="008C43DC">
        <w:rPr>
          <w:rFonts w:ascii="Times New Roman" w:hAnsi="Times New Roman" w:cs="Times New Roman"/>
          <w:i/>
          <w:sz w:val="28"/>
          <w:szCs w:val="28"/>
        </w:rPr>
        <w:t>импортозамещению</w:t>
      </w:r>
      <w:proofErr w:type="spell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</w:t>
      </w:r>
      <w:proofErr w:type="spellStart"/>
      <w:r w:rsidRPr="008C43DC">
        <w:rPr>
          <w:rFonts w:ascii="Times New Roman" w:hAnsi="Times New Roman" w:cs="Times New Roman"/>
          <w:i/>
          <w:sz w:val="28"/>
          <w:szCs w:val="28"/>
        </w:rPr>
        <w:t>Росатома</w:t>
      </w:r>
      <w:proofErr w:type="spell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 более 60 цифровых продуктов. В направлении «Внутренняя </w:t>
      </w:r>
      <w:proofErr w:type="spellStart"/>
      <w:r w:rsidRPr="008C43DC">
        <w:rPr>
          <w:rFonts w:ascii="Times New Roman" w:hAnsi="Times New Roman" w:cs="Times New Roman"/>
          <w:i/>
          <w:sz w:val="28"/>
          <w:szCs w:val="28"/>
        </w:rPr>
        <w:t>цифровизация</w:t>
      </w:r>
      <w:proofErr w:type="spell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» обеспечивает </w:t>
      </w:r>
      <w:proofErr w:type="spellStart"/>
      <w:r w:rsidRPr="008C43DC">
        <w:rPr>
          <w:rFonts w:ascii="Times New Roman" w:hAnsi="Times New Roman" w:cs="Times New Roman"/>
          <w:i/>
          <w:sz w:val="28"/>
          <w:szCs w:val="28"/>
        </w:rPr>
        <w:t>цифровизацию</w:t>
      </w:r>
      <w:proofErr w:type="spell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 процессов сооружения АЭС, цифровое </w:t>
      </w:r>
      <w:proofErr w:type="spellStart"/>
      <w:r w:rsidRPr="008C43DC">
        <w:rPr>
          <w:rFonts w:ascii="Times New Roman" w:hAnsi="Times New Roman" w:cs="Times New Roman"/>
          <w:i/>
          <w:sz w:val="28"/>
          <w:szCs w:val="28"/>
        </w:rPr>
        <w:t>импортозамещение</w:t>
      </w:r>
      <w:proofErr w:type="spell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 и создание Единой цифровой платформы атомной отрасли. Также в рамках ЕЦС </w:t>
      </w:r>
      <w:proofErr w:type="spellStart"/>
      <w:r w:rsidRPr="008C43DC">
        <w:rPr>
          <w:rFonts w:ascii="Times New Roman" w:hAnsi="Times New Roman" w:cs="Times New Roman"/>
          <w:i/>
          <w:sz w:val="28"/>
          <w:szCs w:val="28"/>
        </w:rPr>
        <w:t>Росатом</w:t>
      </w:r>
      <w:proofErr w:type="spell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proofErr w:type="spellStart"/>
      <w:r w:rsidRPr="008C43DC">
        <w:rPr>
          <w:rFonts w:ascii="Times New Roman" w:hAnsi="Times New Roman" w:cs="Times New Roman"/>
          <w:i/>
          <w:sz w:val="28"/>
          <w:szCs w:val="28"/>
        </w:rPr>
        <w:t>нейротехнологии</w:t>
      </w:r>
      <w:proofErr w:type="spell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 и искусственный интеллект, технологии беспроводной связи, робототехника и </w:t>
      </w:r>
      <w:proofErr w:type="spellStart"/>
      <w:proofErr w:type="gramStart"/>
      <w:r w:rsidRPr="008C43DC">
        <w:rPr>
          <w:rFonts w:ascii="Times New Roman" w:hAnsi="Times New Roman" w:cs="Times New Roman"/>
          <w:i/>
          <w:sz w:val="28"/>
          <w:szCs w:val="28"/>
        </w:rPr>
        <w:t>сенсорика</w:t>
      </w:r>
      <w:proofErr w:type="spellEnd"/>
      <w:proofErr w:type="gram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</w:t>
      </w:r>
      <w:proofErr w:type="spellStart"/>
      <w:r w:rsidRPr="008C43DC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Pr="008C43D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F6D3D" w:rsidRDefault="00FF6D3D" w:rsidP="008C43D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6D3D" w:rsidRDefault="00FF6D3D" w:rsidP="008C43D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6D3D" w:rsidRDefault="00FF6D3D" w:rsidP="008C43D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6D3D" w:rsidRDefault="00FF6D3D" w:rsidP="008C43D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6D3D" w:rsidRDefault="00FF6D3D" w:rsidP="008C43D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6D3D" w:rsidRDefault="00FF6D3D" w:rsidP="008C43D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6D3D" w:rsidRDefault="00FF6D3D" w:rsidP="008C43D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6D3D" w:rsidRPr="00FF6D3D" w:rsidRDefault="00FF6D3D" w:rsidP="00FF6D3D">
      <w:pPr>
        <w:pStyle w:val="Default"/>
        <w:spacing w:line="360" w:lineRule="auto"/>
        <w:jc w:val="center"/>
        <w:rPr>
          <w:sz w:val="28"/>
          <w:szCs w:val="28"/>
        </w:rPr>
      </w:pPr>
      <w:r w:rsidRPr="00FF6D3D">
        <w:rPr>
          <w:b/>
          <w:bCs/>
          <w:sz w:val="28"/>
          <w:szCs w:val="28"/>
        </w:rPr>
        <w:lastRenderedPageBreak/>
        <w:t xml:space="preserve">Рекомендации по проведению открытого «Урока цифры» </w:t>
      </w:r>
    </w:p>
    <w:p w:rsidR="00FF6D3D" w:rsidRPr="00FF6D3D" w:rsidRDefault="00FF6D3D" w:rsidP="00FF6D3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F6D3D">
        <w:rPr>
          <w:sz w:val="28"/>
          <w:szCs w:val="28"/>
        </w:rPr>
        <w:t xml:space="preserve">1. Место проведения открытого урока по теме «Путешествие в </w:t>
      </w:r>
      <w:proofErr w:type="spellStart"/>
      <w:r w:rsidRPr="00FF6D3D">
        <w:rPr>
          <w:sz w:val="28"/>
          <w:szCs w:val="28"/>
        </w:rPr>
        <w:t>микровселенную</w:t>
      </w:r>
      <w:proofErr w:type="spellEnd"/>
      <w:r w:rsidRPr="00FF6D3D">
        <w:rPr>
          <w:sz w:val="28"/>
          <w:szCs w:val="28"/>
        </w:rPr>
        <w:t xml:space="preserve">: квантовые вычисления и медицина будущего» (далее – открытый урок): площадка общеобразовательной организации или организации дополнительного образования (далее – организация). </w:t>
      </w:r>
    </w:p>
    <w:p w:rsidR="00FF6D3D" w:rsidRPr="00FF6D3D" w:rsidRDefault="00FF6D3D" w:rsidP="00FF6D3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F6D3D">
        <w:rPr>
          <w:sz w:val="28"/>
          <w:szCs w:val="28"/>
        </w:rPr>
        <w:t xml:space="preserve">2. Рекомендуемые участники открытого урока: школьники средней или старшей школы; представители исполнительных органов власти региона, компаний-партнеров проекта (при наличии), средств массовой информации. </w:t>
      </w:r>
    </w:p>
    <w:p w:rsidR="00FF6D3D" w:rsidRPr="00FF6D3D" w:rsidRDefault="00FF6D3D" w:rsidP="00FF6D3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F6D3D">
        <w:rPr>
          <w:sz w:val="28"/>
          <w:szCs w:val="28"/>
        </w:rPr>
        <w:t xml:space="preserve">3. </w:t>
      </w:r>
      <w:proofErr w:type="spellStart"/>
      <w:r w:rsidRPr="00FF6D3D">
        <w:rPr>
          <w:sz w:val="28"/>
          <w:szCs w:val="28"/>
        </w:rPr>
        <w:t>Модерация</w:t>
      </w:r>
      <w:proofErr w:type="spellEnd"/>
      <w:r w:rsidRPr="00FF6D3D">
        <w:rPr>
          <w:sz w:val="28"/>
          <w:szCs w:val="28"/>
        </w:rPr>
        <w:t xml:space="preserve">: модератору рекомендуется с помощью администрации выбранной организации заранее собрать вопросы от детей. </w:t>
      </w:r>
    </w:p>
    <w:p w:rsidR="00FF6D3D" w:rsidRPr="00FF6D3D" w:rsidRDefault="00FF6D3D" w:rsidP="00FF6D3D">
      <w:pPr>
        <w:pStyle w:val="Default"/>
        <w:spacing w:line="360" w:lineRule="auto"/>
        <w:ind w:firstLine="708"/>
        <w:jc w:val="both"/>
        <w:rPr>
          <w:i/>
          <w:sz w:val="28"/>
          <w:szCs w:val="28"/>
        </w:rPr>
      </w:pPr>
      <w:r w:rsidRPr="00FF6D3D">
        <w:rPr>
          <w:sz w:val="28"/>
          <w:szCs w:val="28"/>
        </w:rPr>
        <w:t>4. Ход открытого урока: открытый урок представляет собой сессию вопросов-ответов после просмотра видеоролика с ресурса проекта https://урокцифры.рф и выполнения заданий в онлайн-тренажере. Рекомендуется обратить внимание на организацию неформального разговора и вовлечь в обсуждение максимальное количество обучающихся, а также запланировать пресс-подход после мероприятия.</w:t>
      </w:r>
    </w:p>
    <w:p w:rsidR="00FF6D3D" w:rsidRPr="00FF6D3D" w:rsidRDefault="00FF6D3D" w:rsidP="00FF6D3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F6D3D" w:rsidRPr="00FF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14"/>
    <w:rsid w:val="00720114"/>
    <w:rsid w:val="008C43DC"/>
    <w:rsid w:val="00A64F29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75D1"/>
  <w15:chartTrackingRefBased/>
  <w15:docId w15:val="{C7DCBF72-5933-4535-B720-88A3D86F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6D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Наталья Николаевна</dc:creator>
  <cp:keywords/>
  <dc:description/>
  <cp:lastModifiedBy>Патрушева Наталья Николаевна</cp:lastModifiedBy>
  <cp:revision>2</cp:revision>
  <dcterms:created xsi:type="dcterms:W3CDTF">2024-04-01T22:22:00Z</dcterms:created>
  <dcterms:modified xsi:type="dcterms:W3CDTF">2024-04-01T22:36:00Z</dcterms:modified>
</cp:coreProperties>
</file>